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862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0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1"/>
          <w:szCs w:val="31"/>
          <w:highlight w:val="none"/>
        </w:rPr>
      </w:pPr>
      <w:bookmarkStart w:id="0" w:name="_Toc26446"/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1"/>
          <w:szCs w:val="31"/>
          <w:highlight w:val="none"/>
        </w:rPr>
        <w:t>第八章 拟签订采购合同文本</w:t>
      </w:r>
      <w:bookmarkEnd w:id="0"/>
    </w:p>
    <w:p w14:paraId="22C6C8DC">
      <w:pPr>
        <w:pStyle w:val="2"/>
        <w:spacing w:line="366" w:lineRule="auto"/>
        <w:outlineLvl w:val="9"/>
        <w:rPr>
          <w:color w:val="auto"/>
          <w:highlight w:val="none"/>
        </w:rPr>
      </w:pPr>
    </w:p>
    <w:p w14:paraId="73EB6351">
      <w:pPr>
        <w:spacing w:line="360" w:lineRule="auto"/>
        <w:jc w:val="left"/>
        <w:outlineLvl w:val="9"/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详见附件：合同草案条款.docx</w:t>
      </w:r>
    </w:p>
    <w:p w14:paraId="0B5BB850">
      <w:pPr>
        <w:keepNext w:val="0"/>
        <w:keepLines w:val="0"/>
        <w:pageBreakBefore w:val="0"/>
        <w:widowControl w:val="0"/>
        <w:tabs>
          <w:tab w:val="left" w:pos="1427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合同草案条款</w:t>
      </w:r>
    </w:p>
    <w:p w14:paraId="5238406D">
      <w:pPr>
        <w:rPr>
          <w:rFonts w:cs="Times New Roman"/>
        </w:rPr>
      </w:pPr>
    </w:p>
    <w:p w14:paraId="530C88E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甲方（发包人）：</w:t>
      </w:r>
      <w:r>
        <w:rPr>
          <w:rFonts w:hint="eastAsia" w:cs="Times New Roman"/>
          <w:b/>
          <w:bCs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cs="Times New Roman"/>
          <w:b/>
          <w:bCs/>
          <w:sz w:val="24"/>
          <w:szCs w:val="24"/>
          <w:u w:val="single"/>
        </w:rPr>
        <w:t xml:space="preserve">  </w:t>
      </w:r>
    </w:p>
    <w:p w14:paraId="22ED416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hint="default" w:eastAsia="宋体" w:cs="Times New Roman"/>
          <w:b/>
          <w:bCs/>
          <w:sz w:val="24"/>
          <w:szCs w:val="24"/>
          <w:u w:val="single"/>
          <w:lang w:val="en-US" w:eastAsia="zh-CN"/>
        </w:rPr>
      </w:pPr>
      <w:r>
        <w:rPr>
          <w:rFonts w:cs="Times New Roman"/>
          <w:b/>
          <w:bCs/>
          <w:sz w:val="24"/>
          <w:szCs w:val="24"/>
        </w:rPr>
        <w:t>乙方（承包人）：</w:t>
      </w:r>
      <w:r>
        <w:rPr>
          <w:rFonts w:hint="eastAsia" w:cs="Times New Roman"/>
          <w:b/>
          <w:bCs/>
          <w:sz w:val="24"/>
          <w:szCs w:val="24"/>
          <w:u w:val="single"/>
          <w:lang w:val="en-US" w:eastAsia="zh-CN"/>
        </w:rPr>
        <w:t xml:space="preserve">              </w:t>
      </w:r>
    </w:p>
    <w:p w14:paraId="02F25EA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根据《中华人民共和国民法典》、《中华人民共和国测绘法》及其他有关法律规定，</w:t>
      </w:r>
      <w:r>
        <w:rPr>
          <w:rFonts w:hint="eastAsia" w:cs="Times New Roman"/>
          <w:sz w:val="24"/>
          <w:szCs w:val="24"/>
        </w:rPr>
        <w:t>为确保浐灞国际港三座隧道</w:t>
      </w:r>
      <w:r>
        <w:rPr>
          <w:rFonts w:hint="eastAsia" w:cs="Times New Roman"/>
          <w:sz w:val="24"/>
          <w:szCs w:val="24"/>
          <w:lang w:val="en-US" w:eastAsia="zh-CN"/>
        </w:rPr>
        <w:t>及雁鸣湖边坡</w:t>
      </w:r>
      <w:r>
        <w:rPr>
          <w:rFonts w:hint="eastAsia" w:cs="Times New Roman"/>
          <w:sz w:val="24"/>
          <w:szCs w:val="24"/>
        </w:rPr>
        <w:t>使用安全，对隧道及</w:t>
      </w:r>
      <w:r>
        <w:rPr>
          <w:rFonts w:hint="eastAsia" w:cs="Times New Roman"/>
          <w:sz w:val="24"/>
          <w:szCs w:val="24"/>
          <w:lang w:val="en-US" w:eastAsia="zh-CN"/>
        </w:rPr>
        <w:t>边坡</w:t>
      </w:r>
      <w:r>
        <w:rPr>
          <w:rFonts w:hint="eastAsia" w:cs="Times New Roman"/>
          <w:sz w:val="24"/>
          <w:szCs w:val="24"/>
        </w:rPr>
        <w:t>进行监测。为维护双方正当权益，</w:t>
      </w:r>
      <w:r>
        <w:rPr>
          <w:rFonts w:cs="Times New Roman"/>
          <w:sz w:val="24"/>
          <w:szCs w:val="24"/>
        </w:rPr>
        <w:t>经甲乙双方协商一致，签订本合同。</w:t>
      </w:r>
      <w:r>
        <w:rPr>
          <w:rFonts w:hint="eastAsia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</w:p>
    <w:p w14:paraId="27256DB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一、项目概况</w:t>
      </w:r>
    </w:p>
    <w:p w14:paraId="61EF629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1．项目名称：</w:t>
      </w:r>
      <w:r>
        <w:rPr>
          <w:rFonts w:hint="eastAsia" w:cs="Times New Roman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>浐灞国际港三座隧道变形监测等服务项目</w:t>
      </w:r>
      <w:r>
        <w:rPr>
          <w:rFonts w:hint="eastAsia" w:cs="Times New Roman"/>
          <w:sz w:val="24"/>
          <w:szCs w:val="24"/>
          <w:u w:val="single"/>
        </w:rPr>
        <w:t xml:space="preserve">  </w:t>
      </w:r>
    </w:p>
    <w:p w14:paraId="43925F8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cs="Times New Roman"/>
          <w:sz w:val="24"/>
          <w:szCs w:val="24"/>
          <w:lang w:val="en-US" w:eastAsia="zh-CN"/>
        </w:rPr>
      </w:pPr>
      <w:r>
        <w:rPr>
          <w:rFonts w:cs="Times New Roman"/>
          <w:sz w:val="24"/>
          <w:szCs w:val="24"/>
        </w:rPr>
        <w:t>2．项目</w:t>
      </w:r>
      <w:r>
        <w:rPr>
          <w:rFonts w:hint="eastAsia" w:cs="Times New Roman"/>
          <w:sz w:val="24"/>
          <w:szCs w:val="24"/>
          <w:lang w:val="en-US" w:eastAsia="zh-CN"/>
        </w:rPr>
        <w:t>概况及地点</w:t>
      </w:r>
    </w:p>
    <w:p w14:paraId="442F8EB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eastAsia="宋体" w:cs="Times New Roman"/>
          <w:sz w:val="24"/>
          <w:szCs w:val="24"/>
          <w:u w:val="none"/>
          <w:lang w:eastAsia="zh-CN"/>
        </w:rPr>
      </w:pPr>
      <w:r>
        <w:rPr>
          <w:rFonts w:hint="eastAsia" w:cs="Times New Roman"/>
          <w:sz w:val="24"/>
          <w:szCs w:val="24"/>
          <w:u w:val="none"/>
        </w:rPr>
        <w:t>奥体隧道：呈东西走向，线路西起广运潭大道，向东下穿灞河后止于柳林路，是浐灞国际港辖区主干道</w:t>
      </w:r>
      <w:r>
        <w:rPr>
          <w:rFonts w:hint="eastAsia" w:cs="Times New Roman"/>
          <w:sz w:val="24"/>
          <w:szCs w:val="24"/>
          <w:u w:val="none"/>
          <w:lang w:eastAsia="zh-CN"/>
        </w:rPr>
        <w:t>，</w:t>
      </w:r>
      <w:r>
        <w:rPr>
          <w:rFonts w:hint="eastAsia" w:cs="Times New Roman"/>
          <w:sz w:val="24"/>
          <w:szCs w:val="24"/>
          <w:u w:val="none"/>
        </w:rPr>
        <w:t>线路设计全长1.657km</w:t>
      </w:r>
      <w:r>
        <w:rPr>
          <w:rFonts w:hint="eastAsia" w:cs="Times New Roman"/>
          <w:sz w:val="24"/>
          <w:szCs w:val="24"/>
          <w:u w:val="none"/>
          <w:lang w:eastAsia="zh-CN"/>
        </w:rPr>
        <w:t>。</w:t>
      </w:r>
    </w:p>
    <w:p w14:paraId="3A7D0C0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cs="Times New Roman"/>
          <w:sz w:val="24"/>
          <w:szCs w:val="24"/>
          <w:u w:val="none"/>
        </w:rPr>
      </w:pPr>
      <w:r>
        <w:rPr>
          <w:rFonts w:hint="eastAsia" w:cs="Times New Roman"/>
          <w:sz w:val="24"/>
          <w:szCs w:val="24"/>
          <w:u w:val="none"/>
        </w:rPr>
        <w:t>全运路隧道：南起广场南路北侧，经过规划一路、向东路、地铁14号线、西安奥体中心项目一场两馆、柳新路、规划二路、规划三路至潘骞路南侧</w:t>
      </w:r>
      <w:r>
        <w:rPr>
          <w:rFonts w:hint="eastAsia" w:cs="Times New Roman"/>
          <w:sz w:val="24"/>
          <w:szCs w:val="24"/>
          <w:u w:val="none"/>
          <w:lang w:eastAsia="zh-CN"/>
        </w:rPr>
        <w:t>，</w:t>
      </w:r>
      <w:r>
        <w:rPr>
          <w:rFonts w:hint="eastAsia" w:cs="Times New Roman"/>
          <w:sz w:val="24"/>
          <w:szCs w:val="24"/>
          <w:u w:val="none"/>
        </w:rPr>
        <w:t>隧道全长1465米。</w:t>
      </w:r>
    </w:p>
    <w:p w14:paraId="3FA8185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cs="Times New Roman"/>
          <w:sz w:val="24"/>
          <w:szCs w:val="24"/>
          <w:u w:val="none"/>
        </w:rPr>
      </w:pPr>
      <w:r>
        <w:rPr>
          <w:rFonts w:hint="eastAsia" w:cs="Times New Roman"/>
          <w:sz w:val="24"/>
          <w:szCs w:val="24"/>
          <w:u w:val="none"/>
        </w:rPr>
        <w:t>浐灞隧道：西起灞河西岸的广运潭大道，东至灞河东岸的香槐六路，主线设计总长度2896.618m。</w:t>
      </w:r>
    </w:p>
    <w:p w14:paraId="37A652E3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  <w:u w:val="none"/>
        </w:rPr>
      </w:pPr>
      <w:r>
        <w:rPr>
          <w:rFonts w:hint="eastAsia" w:cs="Times New Roman"/>
          <w:sz w:val="24"/>
          <w:szCs w:val="24"/>
          <w:u w:val="none"/>
        </w:rPr>
        <w:t>白雀路：白雀路位于雁鸣湖产业园连接南三环与南绕城北辅道重要道路，该道路路基结构为高填方路基，填方高度约22米。</w:t>
      </w:r>
    </w:p>
    <w:p w14:paraId="179B87E3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二、工作内容</w:t>
      </w:r>
    </w:p>
    <w:p w14:paraId="44B8BB6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hint="default" w:eastAsia="宋体" w:cs="Times New Roman"/>
          <w:sz w:val="24"/>
          <w:szCs w:val="24"/>
          <w:lang w:val="en-US" w:eastAsia="zh-CN"/>
        </w:rPr>
      </w:pPr>
      <w:r>
        <w:rPr>
          <w:rFonts w:cs="Times New Roman"/>
          <w:sz w:val="24"/>
          <w:szCs w:val="24"/>
        </w:rPr>
        <w:t>1．</w:t>
      </w:r>
      <w:r>
        <w:rPr>
          <w:rFonts w:hint="eastAsia" w:cs="Times New Roman"/>
          <w:sz w:val="24"/>
          <w:szCs w:val="24"/>
        </w:rPr>
        <w:t>监测对象</w:t>
      </w:r>
      <w:r>
        <w:rPr>
          <w:rFonts w:hint="eastAsia" w:cs="Times New Roman"/>
          <w:sz w:val="24"/>
          <w:szCs w:val="24"/>
          <w:lang w:val="en-US" w:eastAsia="zh-CN"/>
        </w:rPr>
        <w:t>及内容如下：</w:t>
      </w:r>
    </w:p>
    <w:p w14:paraId="7B0EA31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（1）浐灞隧道：竖向位移、水平位移、拱顶沉降、收敛监测、差异沉降及渗水量；</w:t>
      </w:r>
    </w:p>
    <w:p w14:paraId="20503AC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（2）奥体隧道：竖向位移、水平位移、收敛监测及差异沉降；</w:t>
      </w:r>
    </w:p>
    <w:p w14:paraId="316BA5B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（3）全运路隧道：竖向位移、差异沉降及收敛监测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 w14:paraId="0125501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（4）白雀路：边坡水平位移、竖向位移，周边道路竖向位移、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土体测斜。</w:t>
      </w:r>
    </w:p>
    <w:p w14:paraId="77E477F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hint="default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2</w:t>
      </w:r>
      <w:r>
        <w:rPr>
          <w:rFonts w:cs="Times New Roman"/>
          <w:sz w:val="24"/>
          <w:szCs w:val="24"/>
        </w:rPr>
        <w:t>．</w:t>
      </w:r>
      <w:r>
        <w:rPr>
          <w:rFonts w:hint="eastAsia" w:cs="Times New Roman"/>
          <w:sz w:val="24"/>
          <w:szCs w:val="24"/>
          <w:lang w:val="en-US" w:eastAsia="zh-CN"/>
        </w:rPr>
        <w:t>监测周期及频次</w:t>
      </w:r>
    </w:p>
    <w:p w14:paraId="36147AE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隧道监测周期及频次：监测周期为期1年；浐灞隧道监测2次，每半年1次；奥体隧道、全运路隧道各监测5次，每季度1次。</w:t>
      </w:r>
    </w:p>
    <w:p w14:paraId="3582189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白雀路监测周期及频次：监测周期为期6个月，每月观测2次，共13次，若监测期间出现边坡失稳风险或变形加剧，服务期限可按招标人要求顺延。</w:t>
      </w:r>
    </w:p>
    <w:p w14:paraId="101A8B4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在观测过程中，当监测数据出现异常情况，应及时向甲方提供书面资料，根据监测情况经甲方同意后调整观测频率，如需增加观测次数，应经双方同意后，再开展工作。</w:t>
      </w:r>
    </w:p>
    <w:p w14:paraId="655D04C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每次观测工作完成后，及时提交监测资料，一式四份。</w:t>
      </w:r>
    </w:p>
    <w:p w14:paraId="3C8CD05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全部监测</w:t>
      </w:r>
      <w:r>
        <w:rPr>
          <w:rFonts w:cs="Times New Roman"/>
          <w:sz w:val="24"/>
          <w:szCs w:val="24"/>
        </w:rPr>
        <w:t>工作完成后</w:t>
      </w:r>
      <w:r>
        <w:rPr>
          <w:rFonts w:hint="eastAsia" w:cs="Times New Roman"/>
          <w:sz w:val="24"/>
          <w:szCs w:val="24"/>
        </w:rPr>
        <w:t>，对整个监测周期内监测数据进行汇总分析，</w:t>
      </w:r>
      <w:r>
        <w:rPr>
          <w:rFonts w:cs="Times New Roman"/>
          <w:sz w:val="24"/>
          <w:szCs w:val="24"/>
        </w:rPr>
        <w:t>提交</w:t>
      </w:r>
      <w:r>
        <w:rPr>
          <w:rFonts w:hint="eastAsia" w:cs="Times New Roman"/>
          <w:sz w:val="24"/>
          <w:szCs w:val="24"/>
        </w:rPr>
        <w:t>最终监测技术报告书，</w:t>
      </w:r>
      <w:r>
        <w:rPr>
          <w:rFonts w:cs="Times New Roman"/>
          <w:sz w:val="24"/>
          <w:szCs w:val="24"/>
        </w:rPr>
        <w:t>一式四份。</w:t>
      </w:r>
    </w:p>
    <w:p w14:paraId="012133C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三、技术依据</w:t>
      </w:r>
    </w:p>
    <w:p w14:paraId="19F0C44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（1）《城市隧道养护技术规范》（DB50∕T 1093-2021）； </w:t>
      </w:r>
    </w:p>
    <w:p w14:paraId="6163C29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（2）《城市轨道交通工程监测技术规范》（GB50911-2013）； </w:t>
      </w:r>
    </w:p>
    <w:p w14:paraId="3392C2A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（3）《在役公路隧道长期监测技术指南》T/CHTS10021-2020； </w:t>
      </w:r>
    </w:p>
    <w:p w14:paraId="5602D07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（4）《运营公路边 (滑) 坡监测技术规范》（DB61/T 1287-2019）；</w:t>
      </w:r>
    </w:p>
    <w:p w14:paraId="5F881B5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（5）《工程测量通用规范》（GB55018-2021）； </w:t>
      </w:r>
    </w:p>
    <w:p w14:paraId="2474E50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（6）《工程测量标准》（GB50026-2020）； </w:t>
      </w:r>
    </w:p>
    <w:p w14:paraId="04F3B88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（7）《建筑变形测量规范》(JGJ8-2016)； </w:t>
      </w:r>
    </w:p>
    <w:p w14:paraId="5E256DB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（8）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工程相关设计图纸；</w:t>
      </w:r>
    </w:p>
    <w:p w14:paraId="09C2E10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（9）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陕西省及西安市相关规范、规定。</w:t>
      </w:r>
    </w:p>
    <w:p w14:paraId="7B28CF2E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四、合同价款</w:t>
      </w:r>
    </w:p>
    <w:p w14:paraId="67A1067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本</w:t>
      </w:r>
      <w:r>
        <w:rPr>
          <w:rFonts w:hint="eastAsia" w:cs="Times New Roman"/>
          <w:sz w:val="24"/>
          <w:szCs w:val="24"/>
        </w:rPr>
        <w:t>项目</w:t>
      </w:r>
      <w:r>
        <w:rPr>
          <w:rFonts w:cs="Times New Roman"/>
          <w:sz w:val="24"/>
          <w:szCs w:val="24"/>
        </w:rPr>
        <w:t>合同含税总价为</w:t>
      </w:r>
      <w:r>
        <w:rPr>
          <w:rFonts w:cs="Times New Roman"/>
          <w:sz w:val="24"/>
          <w:szCs w:val="24"/>
          <w:u w:val="single"/>
        </w:rPr>
        <w:t>¥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</w:t>
      </w:r>
      <w:r>
        <w:rPr>
          <w:rFonts w:cs="Times New Roman"/>
          <w:sz w:val="24"/>
          <w:szCs w:val="24"/>
          <w:u w:val="single"/>
        </w:rPr>
        <w:t>元（大写：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 </w:t>
      </w:r>
      <w:r>
        <w:rPr>
          <w:rFonts w:cs="Times New Roman"/>
          <w:sz w:val="24"/>
          <w:szCs w:val="24"/>
          <w:u w:val="single"/>
        </w:rPr>
        <w:t>）</w:t>
      </w:r>
      <w:r>
        <w:rPr>
          <w:rFonts w:hint="eastAsia" w:cs="Times New Roman"/>
          <w:sz w:val="24"/>
          <w:szCs w:val="24"/>
        </w:rPr>
        <w:t>，其中不含税总价为</w:t>
      </w:r>
      <w:r>
        <w:rPr>
          <w:rFonts w:hint="eastAsia" w:cs="Times New Roman"/>
          <w:sz w:val="24"/>
          <w:szCs w:val="24"/>
          <w:u w:val="single"/>
        </w:rPr>
        <w:t>¥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cs="Times New Roman"/>
          <w:sz w:val="24"/>
          <w:szCs w:val="24"/>
          <w:u w:val="single"/>
        </w:rPr>
        <w:t>元</w:t>
      </w:r>
      <w:r>
        <w:rPr>
          <w:rFonts w:hint="eastAsia" w:cs="Times New Roman"/>
          <w:sz w:val="24"/>
          <w:szCs w:val="24"/>
        </w:rPr>
        <w:t>，增值税税金为</w:t>
      </w:r>
      <w:r>
        <w:rPr>
          <w:rFonts w:hint="eastAsia" w:cs="Times New Roman"/>
          <w:sz w:val="24"/>
          <w:szCs w:val="24"/>
          <w:u w:val="single"/>
        </w:rPr>
        <w:t>¥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u w:val="single"/>
        </w:rPr>
        <w:t>元</w:t>
      </w:r>
      <w:r>
        <w:rPr>
          <w:rFonts w:hint="eastAsia" w:cs="Times New Roman"/>
          <w:sz w:val="24"/>
          <w:szCs w:val="24"/>
        </w:rPr>
        <w:t>，税率为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Times New Roman"/>
          <w:sz w:val="24"/>
          <w:szCs w:val="24"/>
          <w:u w:val="single"/>
        </w:rPr>
        <w:t>%</w:t>
      </w:r>
      <w:r>
        <w:rPr>
          <w:rFonts w:hint="eastAsia" w:cs="Times New Roman"/>
          <w:sz w:val="24"/>
          <w:szCs w:val="24"/>
        </w:rPr>
        <w:t>。</w:t>
      </w:r>
    </w:p>
    <w:p w14:paraId="27817BF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本项目在工作内容</w:t>
      </w:r>
      <w:r>
        <w:rPr>
          <w:rFonts w:hint="eastAsia" w:cs="Times New Roman"/>
          <w:sz w:val="24"/>
          <w:szCs w:val="24"/>
        </w:rPr>
        <w:t>及监测频次</w:t>
      </w:r>
      <w:r>
        <w:rPr>
          <w:rFonts w:cs="Times New Roman"/>
          <w:sz w:val="24"/>
          <w:szCs w:val="24"/>
        </w:rPr>
        <w:t>没有变化的情况下，合同总价一次性包死，结算时不予调整。如有调整工作内容</w:t>
      </w:r>
      <w:r>
        <w:rPr>
          <w:rFonts w:hint="eastAsia" w:cs="Times New Roman"/>
          <w:sz w:val="24"/>
          <w:szCs w:val="24"/>
        </w:rPr>
        <w:t>或工作量</w:t>
      </w:r>
      <w:r>
        <w:rPr>
          <w:rFonts w:cs="Times New Roman"/>
          <w:sz w:val="24"/>
          <w:szCs w:val="24"/>
        </w:rPr>
        <w:t>，甲乙双方应协商解决。</w:t>
      </w:r>
    </w:p>
    <w:p w14:paraId="2D7D74D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五、支付方式</w:t>
      </w:r>
    </w:p>
    <w:p w14:paraId="40F757B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>乙方进场开展监测工作满六个月，提供阶段监测报告，</w:t>
      </w:r>
      <w:r>
        <w:rPr>
          <w:rFonts w:cs="Times New Roman"/>
          <w:sz w:val="24"/>
          <w:szCs w:val="24"/>
        </w:rPr>
        <w:t>甲方</w:t>
      </w:r>
      <w:r>
        <w:rPr>
          <w:rFonts w:hint="eastAsia" w:cs="Times New Roman"/>
          <w:sz w:val="24"/>
          <w:szCs w:val="24"/>
        </w:rPr>
        <w:t>向乙方支付本项目监测费用的</w:t>
      </w:r>
      <w:r>
        <w:rPr>
          <w:rFonts w:hint="eastAsia" w:cs="Times New Roman"/>
          <w:sz w:val="24"/>
          <w:szCs w:val="24"/>
          <w:lang w:val="en-US" w:eastAsia="zh-CN"/>
        </w:rPr>
        <w:t>30</w:t>
      </w:r>
      <w:r>
        <w:rPr>
          <w:rFonts w:hint="eastAsia" w:cs="Times New Roman"/>
          <w:sz w:val="24"/>
          <w:szCs w:val="24"/>
        </w:rPr>
        <w:t>%，计</w:t>
      </w:r>
      <w:r>
        <w:rPr>
          <w:rFonts w:cs="Times New Roman"/>
          <w:sz w:val="24"/>
          <w:szCs w:val="24"/>
          <w:u w:val="single"/>
        </w:rPr>
        <w:t>¥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cs="Times New Roman"/>
          <w:sz w:val="24"/>
          <w:szCs w:val="24"/>
          <w:u w:val="single"/>
        </w:rPr>
        <w:t>元。</w:t>
      </w:r>
    </w:p>
    <w:p w14:paraId="6E49BA2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2.</w:t>
      </w:r>
      <w:r>
        <w:rPr>
          <w:rFonts w:hint="eastAsia" w:cs="Times New Roman"/>
          <w:sz w:val="24"/>
          <w:szCs w:val="24"/>
        </w:rPr>
        <w:t>本项目所有监测</w:t>
      </w:r>
      <w:r>
        <w:rPr>
          <w:rFonts w:cs="Times New Roman"/>
          <w:sz w:val="24"/>
          <w:szCs w:val="24"/>
        </w:rPr>
        <w:t>工作全部完成，乙方向甲方</w:t>
      </w:r>
      <w:r>
        <w:rPr>
          <w:rFonts w:hint="eastAsia" w:cs="Times New Roman"/>
          <w:sz w:val="24"/>
          <w:szCs w:val="24"/>
        </w:rPr>
        <w:t>提交监测技术报告书后</w:t>
      </w:r>
      <w:r>
        <w:rPr>
          <w:rFonts w:cs="Times New Roman"/>
          <w:sz w:val="24"/>
          <w:szCs w:val="24"/>
        </w:rPr>
        <w:t>，甲方</w:t>
      </w:r>
      <w:r>
        <w:rPr>
          <w:rFonts w:hint="eastAsia" w:cs="Times New Roman"/>
          <w:sz w:val="24"/>
          <w:szCs w:val="24"/>
        </w:rPr>
        <w:t>向乙方</w:t>
      </w:r>
      <w:r>
        <w:rPr>
          <w:rFonts w:cs="Times New Roman"/>
          <w:sz w:val="24"/>
          <w:szCs w:val="24"/>
        </w:rPr>
        <w:t>付清</w:t>
      </w:r>
      <w:r>
        <w:rPr>
          <w:rFonts w:hint="eastAsia" w:cs="Times New Roman"/>
          <w:sz w:val="24"/>
          <w:szCs w:val="24"/>
        </w:rPr>
        <w:t>剩余监测费用</w:t>
      </w:r>
      <w:r>
        <w:rPr>
          <w:rFonts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</w:rPr>
        <w:t>计</w:t>
      </w:r>
      <w:r>
        <w:rPr>
          <w:rFonts w:cs="Times New Roman"/>
          <w:sz w:val="24"/>
          <w:szCs w:val="24"/>
          <w:u w:val="single"/>
        </w:rPr>
        <w:t>¥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cs="Times New Roman"/>
          <w:sz w:val="24"/>
          <w:szCs w:val="24"/>
          <w:u w:val="single"/>
        </w:rPr>
        <w:t>元</w:t>
      </w:r>
      <w:r>
        <w:rPr>
          <w:rFonts w:cs="Times New Roman"/>
          <w:sz w:val="24"/>
          <w:szCs w:val="24"/>
        </w:rPr>
        <w:t>。</w:t>
      </w:r>
    </w:p>
    <w:p w14:paraId="1D78200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每次</w:t>
      </w:r>
      <w:r>
        <w:rPr>
          <w:rFonts w:cs="Times New Roman"/>
          <w:sz w:val="24"/>
          <w:szCs w:val="24"/>
        </w:rPr>
        <w:t>付款前，乙方应向甲方开具足额有效的增值税发票，甲方应在发票签收后</w:t>
      </w:r>
      <w:r>
        <w:rPr>
          <w:rFonts w:hint="eastAsia" w:cs="Times New Roman"/>
          <w:sz w:val="24"/>
          <w:szCs w:val="24"/>
        </w:rPr>
        <w:t>十</w:t>
      </w:r>
      <w:r>
        <w:rPr>
          <w:rFonts w:cs="Times New Roman"/>
          <w:sz w:val="24"/>
          <w:szCs w:val="24"/>
        </w:rPr>
        <w:t>个工作日内向乙方付款。</w:t>
      </w:r>
    </w:p>
    <w:p w14:paraId="247056C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六、甲方责任</w:t>
      </w:r>
    </w:p>
    <w:p w14:paraId="04BDBB4E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1．甲方指定</w:t>
      </w:r>
      <w:r>
        <w:rPr>
          <w:rFonts w:hint="eastAsia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  <w:u w:val="single"/>
        </w:rPr>
        <w:t xml:space="preserve"> 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    </w:t>
      </w:r>
      <w:r>
        <w:rPr>
          <w:rFonts w:cs="Times New Roman"/>
          <w:sz w:val="24"/>
          <w:szCs w:val="24"/>
          <w:u w:val="none"/>
        </w:rPr>
        <w:t>为</w:t>
      </w:r>
      <w:r>
        <w:rPr>
          <w:rFonts w:cs="Times New Roman"/>
          <w:sz w:val="24"/>
          <w:szCs w:val="24"/>
        </w:rPr>
        <w:t>项目协调人，负责现场配合，保证</w:t>
      </w:r>
      <w:r>
        <w:rPr>
          <w:rFonts w:hint="eastAsia" w:cs="Times New Roman"/>
          <w:sz w:val="24"/>
          <w:szCs w:val="24"/>
        </w:rPr>
        <w:t>监测</w:t>
      </w:r>
      <w:r>
        <w:rPr>
          <w:rFonts w:cs="Times New Roman"/>
          <w:sz w:val="24"/>
          <w:szCs w:val="24"/>
        </w:rPr>
        <w:t>工作顺利开展。</w:t>
      </w:r>
    </w:p>
    <w:p w14:paraId="7DC75CD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2．</w:t>
      </w:r>
      <w:r>
        <w:rPr>
          <w:rFonts w:hint="eastAsia" w:cs="Times New Roman"/>
          <w:sz w:val="24"/>
          <w:szCs w:val="24"/>
        </w:rPr>
        <w:t>提供项目相关设计资料</w:t>
      </w:r>
      <w:r>
        <w:rPr>
          <w:rFonts w:cs="Times New Roman"/>
          <w:sz w:val="24"/>
          <w:szCs w:val="24"/>
        </w:rPr>
        <w:t>。</w:t>
      </w:r>
    </w:p>
    <w:p w14:paraId="6441F5E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3．按合同约定支付</w:t>
      </w:r>
      <w:r>
        <w:rPr>
          <w:rFonts w:hint="eastAsia" w:cs="Times New Roman"/>
          <w:sz w:val="24"/>
          <w:szCs w:val="24"/>
        </w:rPr>
        <w:t>监测</w:t>
      </w:r>
      <w:r>
        <w:rPr>
          <w:rFonts w:cs="Times New Roman"/>
          <w:sz w:val="24"/>
          <w:szCs w:val="24"/>
        </w:rPr>
        <w:t>费用。</w:t>
      </w:r>
    </w:p>
    <w:p w14:paraId="51838F8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七、乙方责任</w:t>
      </w:r>
    </w:p>
    <w:p w14:paraId="3F2654D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1．乙方指定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</w:t>
      </w:r>
      <w:r>
        <w:rPr>
          <w:rFonts w:cs="Times New Roman"/>
          <w:sz w:val="24"/>
          <w:szCs w:val="24"/>
        </w:rPr>
        <w:t>为项目负责人，对项目进行具体负责</w:t>
      </w:r>
      <w:r>
        <w:rPr>
          <w:rFonts w:hint="eastAsia" w:cs="Times New Roman"/>
          <w:sz w:val="24"/>
          <w:szCs w:val="24"/>
        </w:rPr>
        <w:t>，</w:t>
      </w:r>
      <w:r>
        <w:rPr>
          <w:rFonts w:cs="Times New Roman"/>
          <w:sz w:val="24"/>
          <w:szCs w:val="24"/>
        </w:rPr>
        <w:t>项目组主要成员为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     </w:t>
      </w:r>
      <w:r>
        <w:rPr>
          <w:rFonts w:cs="Times New Roman"/>
          <w:sz w:val="24"/>
          <w:szCs w:val="24"/>
        </w:rPr>
        <w:t>等。如需更换项目负责人，需提前向甲方报告。</w:t>
      </w:r>
    </w:p>
    <w:p w14:paraId="2E9B650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2</w:t>
      </w:r>
      <w:r>
        <w:rPr>
          <w:rFonts w:cs="Times New Roman"/>
          <w:sz w:val="24"/>
          <w:szCs w:val="24"/>
        </w:rPr>
        <w:t>．乙方测量人员应具有相关资质，仪器设备应检定合格，测量精度要</w:t>
      </w:r>
      <w:r>
        <w:rPr>
          <w:rFonts w:hint="eastAsia" w:cs="Times New Roman"/>
          <w:sz w:val="24"/>
          <w:szCs w:val="24"/>
        </w:rPr>
        <w:t>符合</w:t>
      </w:r>
      <w:r>
        <w:rPr>
          <w:rFonts w:cs="Times New Roman"/>
          <w:sz w:val="24"/>
          <w:szCs w:val="24"/>
        </w:rPr>
        <w:t>相关规范要求。乙方应按照</w:t>
      </w:r>
      <w:r>
        <w:rPr>
          <w:rFonts w:hint="eastAsia" w:cs="Times New Roman"/>
          <w:sz w:val="24"/>
          <w:szCs w:val="24"/>
        </w:rPr>
        <w:t>工作内容及要求</w:t>
      </w:r>
      <w:r>
        <w:rPr>
          <w:rFonts w:cs="Times New Roman"/>
          <w:sz w:val="24"/>
          <w:szCs w:val="24"/>
        </w:rPr>
        <w:t>精心组织进行观测，确保测量资料真实、可靠、准确地反映实际情况，及时提供</w:t>
      </w:r>
      <w:r>
        <w:rPr>
          <w:rFonts w:hint="eastAsia" w:cs="Times New Roman"/>
          <w:sz w:val="24"/>
          <w:szCs w:val="24"/>
        </w:rPr>
        <w:t>监测</w:t>
      </w:r>
      <w:r>
        <w:rPr>
          <w:rFonts w:cs="Times New Roman"/>
          <w:sz w:val="24"/>
          <w:szCs w:val="24"/>
        </w:rPr>
        <w:t>成果，并对其负责。</w:t>
      </w:r>
    </w:p>
    <w:p w14:paraId="1A7FB34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3</w:t>
      </w:r>
      <w:r>
        <w:rPr>
          <w:rFonts w:cs="Times New Roman"/>
          <w:sz w:val="24"/>
          <w:szCs w:val="24"/>
        </w:rPr>
        <w:t>．在施工中乙方要严格遵守安全生产管理规定，严格按安全标准组织</w:t>
      </w:r>
      <w:r>
        <w:rPr>
          <w:rFonts w:hint="eastAsia" w:cs="Times New Roman"/>
          <w:sz w:val="24"/>
          <w:szCs w:val="24"/>
        </w:rPr>
        <w:t>开展监测工作</w:t>
      </w:r>
      <w:r>
        <w:rPr>
          <w:rFonts w:cs="Times New Roman"/>
          <w:sz w:val="24"/>
          <w:szCs w:val="24"/>
        </w:rPr>
        <w:t>，并随时接受安全检查人员实施的监督检查。在</w:t>
      </w:r>
      <w:r>
        <w:rPr>
          <w:rFonts w:hint="eastAsia" w:cs="Times New Roman"/>
          <w:sz w:val="24"/>
          <w:szCs w:val="24"/>
        </w:rPr>
        <w:t>监测</w:t>
      </w:r>
      <w:r>
        <w:rPr>
          <w:rFonts w:cs="Times New Roman"/>
          <w:sz w:val="24"/>
          <w:szCs w:val="24"/>
        </w:rPr>
        <w:t>时对观测人员及仪器采取必要的安全防护措施，消除安全事故隐患</w:t>
      </w:r>
      <w:r>
        <w:rPr>
          <w:rFonts w:hint="eastAsia" w:cs="Times New Roman"/>
          <w:sz w:val="24"/>
          <w:szCs w:val="24"/>
        </w:rPr>
        <w:t>，项目</w:t>
      </w:r>
      <w:r>
        <w:rPr>
          <w:rFonts w:hint="eastAsia" w:cs="Times New Roman"/>
          <w:sz w:val="24"/>
          <w:szCs w:val="24"/>
          <w:lang w:val="en-US" w:eastAsia="zh-CN"/>
        </w:rPr>
        <w:t>监测</w:t>
      </w:r>
      <w:r>
        <w:rPr>
          <w:rFonts w:hint="eastAsia" w:cs="Times New Roman"/>
          <w:sz w:val="24"/>
          <w:szCs w:val="24"/>
        </w:rPr>
        <w:t>过程中发生的一切安全事故均由乙方自行承担，与甲方无关</w:t>
      </w:r>
      <w:r>
        <w:rPr>
          <w:rFonts w:cs="Times New Roman"/>
          <w:sz w:val="24"/>
          <w:szCs w:val="24"/>
        </w:rPr>
        <w:t>。</w:t>
      </w:r>
    </w:p>
    <w:p w14:paraId="300CAC2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4</w:t>
      </w:r>
      <w:r>
        <w:rPr>
          <w:rFonts w:cs="Times New Roman"/>
          <w:sz w:val="24"/>
          <w:szCs w:val="24"/>
        </w:rPr>
        <w:t>．乙方在现场工作的测量人员，应遵守甲方</w:t>
      </w:r>
      <w:r>
        <w:rPr>
          <w:rFonts w:hint="eastAsia" w:cs="Times New Roman"/>
          <w:sz w:val="24"/>
          <w:szCs w:val="24"/>
        </w:rPr>
        <w:t>或</w:t>
      </w:r>
      <w:r>
        <w:rPr>
          <w:rFonts w:cs="Times New Roman"/>
          <w:sz w:val="24"/>
          <w:szCs w:val="24"/>
        </w:rPr>
        <w:t>其它有关的规章制度，承担</w:t>
      </w:r>
      <w:r>
        <w:rPr>
          <w:rFonts w:hint="eastAsia" w:cs="Times New Roman"/>
          <w:sz w:val="24"/>
          <w:szCs w:val="24"/>
        </w:rPr>
        <w:t>本项目相</w:t>
      </w:r>
      <w:r>
        <w:rPr>
          <w:rFonts w:cs="Times New Roman"/>
          <w:sz w:val="24"/>
          <w:szCs w:val="24"/>
        </w:rPr>
        <w:t>关资料保密义务。</w:t>
      </w:r>
    </w:p>
    <w:p w14:paraId="7135A22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九、违约责任</w:t>
      </w:r>
    </w:p>
    <w:p w14:paraId="319A4BF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1．由于乙方原因造成测量成果资料质量不合格，不能满足技术要求时，其返工测量费用由乙方承担。</w:t>
      </w:r>
    </w:p>
    <w:p w14:paraId="076048F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2．由于甲方未能及时支付工程款，导致乙方停工或其他不良影响的，责任不在乙方而在甲方。</w:t>
      </w:r>
    </w:p>
    <w:p w14:paraId="13DC4BEE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十、</w:t>
      </w:r>
      <w:r>
        <w:rPr>
          <w:rFonts w:cs="Times New Roman"/>
          <w:sz w:val="24"/>
          <w:szCs w:val="24"/>
        </w:rPr>
        <w:t>本合同未尽事宜，双方友好协商解决，必要时可签订补充协议，补充协议与本合同具有同等效力。</w:t>
      </w:r>
    </w:p>
    <w:p w14:paraId="0559AA4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十一、</w:t>
      </w:r>
      <w:r>
        <w:rPr>
          <w:rFonts w:cs="Times New Roman"/>
          <w:sz w:val="24"/>
          <w:szCs w:val="24"/>
        </w:rPr>
        <w:t>由于不可抗力，致使合同无法履行时，双方应该按有关法律规定及时协商处理。</w:t>
      </w:r>
    </w:p>
    <w:p w14:paraId="5BE61DD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十二、</w:t>
      </w:r>
      <w:r>
        <w:rPr>
          <w:rFonts w:cs="Times New Roman"/>
          <w:sz w:val="24"/>
          <w:szCs w:val="24"/>
        </w:rPr>
        <w:t>本合同履行过程中若产生纠纷，甲乙双方应协商解决，协商不成时，甲乙双方均有权向合同履行地有管辖权的人民法院起诉。</w:t>
      </w:r>
    </w:p>
    <w:p w14:paraId="261395D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十三、</w:t>
      </w:r>
      <w:r>
        <w:rPr>
          <w:rFonts w:cs="Times New Roman"/>
          <w:sz w:val="24"/>
          <w:szCs w:val="24"/>
        </w:rPr>
        <w:t>本合同自甲乙双方签字盖章后生效。本合同一式</w:t>
      </w:r>
      <w:r>
        <w:rPr>
          <w:rFonts w:cs="Times New Roman"/>
          <w:sz w:val="24"/>
          <w:szCs w:val="24"/>
          <w:u w:val="single"/>
        </w:rPr>
        <w:t xml:space="preserve"> 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 xml:space="preserve">陆 </w:t>
      </w:r>
      <w:r>
        <w:rPr>
          <w:rFonts w:cs="Times New Roman"/>
          <w:sz w:val="24"/>
          <w:szCs w:val="24"/>
        </w:rPr>
        <w:t>份，甲方、乙方各执</w:t>
      </w:r>
      <w:r>
        <w:rPr>
          <w:rFonts w:cs="Times New Roman"/>
          <w:sz w:val="24"/>
          <w:szCs w:val="24"/>
          <w:u w:val="single"/>
        </w:rPr>
        <w:t xml:space="preserve"> </w:t>
      </w:r>
      <w:r>
        <w:rPr>
          <w:rFonts w:hint="eastAsia" w:cs="Times New Roman"/>
          <w:sz w:val="24"/>
          <w:szCs w:val="24"/>
          <w:u w:val="single"/>
          <w:lang w:val="en-US" w:eastAsia="zh-CN"/>
        </w:rPr>
        <w:t>叁</w:t>
      </w:r>
      <w:r>
        <w:rPr>
          <w:rFonts w:cs="Times New Roman"/>
          <w:sz w:val="24"/>
          <w:szCs w:val="24"/>
          <w:u w:val="single"/>
        </w:rPr>
        <w:t xml:space="preserve"> </w:t>
      </w:r>
      <w:r>
        <w:rPr>
          <w:rFonts w:cs="Times New Roman"/>
          <w:sz w:val="24"/>
          <w:szCs w:val="24"/>
        </w:rPr>
        <w:t>份，具有同等法律效力。甲方、乙方履行完合同规定的义务后，结清工程款后本合同自行终止。</w:t>
      </w:r>
    </w:p>
    <w:p w14:paraId="5868906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十</w:t>
      </w:r>
      <w:r>
        <w:rPr>
          <w:rFonts w:hint="eastAsia" w:cs="Times New Roman"/>
          <w:b/>
          <w:bCs/>
          <w:sz w:val="24"/>
          <w:szCs w:val="24"/>
        </w:rPr>
        <w:t>四</w:t>
      </w:r>
      <w:r>
        <w:rPr>
          <w:rFonts w:cs="Times New Roman"/>
          <w:b/>
          <w:bCs/>
          <w:sz w:val="24"/>
          <w:szCs w:val="24"/>
        </w:rPr>
        <w:t>、</w:t>
      </w:r>
      <w:r>
        <w:rPr>
          <w:rFonts w:hint="eastAsia" w:cs="Times New Roman"/>
          <w:sz w:val="24"/>
          <w:szCs w:val="24"/>
        </w:rPr>
        <w:t>本合同生效后，双方均应履行本合同的约定。若有一方违反本合同的约定，守约方为维护利益而支付的一切费用均由违约方承担。</w:t>
      </w:r>
    </w:p>
    <w:p w14:paraId="3E77BE5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cs="Times New Roman"/>
          <w:b/>
          <w:bCs/>
          <w:sz w:val="24"/>
          <w:szCs w:val="24"/>
        </w:rPr>
      </w:pPr>
    </w:p>
    <w:p w14:paraId="12CD048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以下无正文！</w:t>
      </w:r>
    </w:p>
    <w:p w14:paraId="5E33F72D">
      <w:pPr>
        <w:ind w:firstLine="420" w:firstLineChars="200"/>
        <w:rPr>
          <w:rFonts w:cs="Times New Roman"/>
          <w:b/>
        </w:rPr>
      </w:pPr>
    </w:p>
    <w:p w14:paraId="64A350B3">
      <w:pPr>
        <w:ind w:firstLine="420" w:firstLineChars="200"/>
        <w:rPr>
          <w:rFonts w:cs="Times New Roman"/>
          <w:b/>
        </w:rPr>
      </w:pPr>
    </w:p>
    <w:p w14:paraId="02443A1E">
      <w:pPr>
        <w:rPr>
          <w:rFonts w:hint="eastAsia" w:cs="Times New Roman"/>
          <w:b/>
          <w:lang w:val="en-US" w:eastAsia="zh-CN"/>
        </w:rPr>
      </w:pPr>
      <w:r>
        <w:rPr>
          <w:rFonts w:hint="eastAsia" w:cs="Times New Roman"/>
          <w:b/>
          <w:lang w:val="en-US" w:eastAsia="zh-CN"/>
        </w:rPr>
        <w:br w:type="page"/>
      </w:r>
    </w:p>
    <w:p w14:paraId="7697E53D">
      <w:pPr>
        <w:ind w:firstLine="420" w:firstLineChars="200"/>
        <w:rPr>
          <w:rFonts w:hint="default" w:eastAsia="宋体" w:cs="Times New Roman"/>
          <w:b/>
          <w:lang w:val="en-US" w:eastAsia="zh-CN"/>
        </w:rPr>
      </w:pPr>
      <w:r>
        <w:rPr>
          <w:rFonts w:hint="eastAsia" w:cs="Times New Roman"/>
          <w:b/>
          <w:lang w:val="en-US" w:eastAsia="zh-CN"/>
        </w:rPr>
        <w:t>合同签字页</w:t>
      </w:r>
    </w:p>
    <w:p w14:paraId="4C9C2A8E">
      <w:pPr>
        <w:ind w:firstLine="420" w:firstLineChars="200"/>
        <w:rPr>
          <w:rFonts w:cs="Times New Roman"/>
          <w:b/>
        </w:rPr>
      </w:pPr>
    </w:p>
    <w:p w14:paraId="6294F9B1">
      <w:pPr>
        <w:ind w:firstLine="420" w:firstLineChars="200"/>
        <w:rPr>
          <w:rFonts w:cs="Times New Roman"/>
          <w:b/>
        </w:rPr>
      </w:pPr>
    </w:p>
    <w:tbl>
      <w:tblPr>
        <w:tblStyle w:val="3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1701"/>
        <w:gridCol w:w="1555"/>
        <w:gridCol w:w="1559"/>
        <w:gridCol w:w="1989"/>
        <w:gridCol w:w="1701"/>
      </w:tblGrid>
      <w:tr w14:paraId="71FC9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restart"/>
            <w:textDirection w:val="tbRlV"/>
            <w:vAlign w:val="center"/>
          </w:tcPr>
          <w:p w14:paraId="06C79222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甲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方</w:t>
            </w:r>
          </w:p>
        </w:tc>
        <w:tc>
          <w:tcPr>
            <w:tcW w:w="1701" w:type="dxa"/>
            <w:vAlign w:val="center"/>
          </w:tcPr>
          <w:p w14:paraId="0AA081F6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5103" w:type="dxa"/>
            <w:gridSpan w:val="3"/>
            <w:vAlign w:val="center"/>
          </w:tcPr>
          <w:p w14:paraId="427DA5C2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D0328D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（单位盖章）</w:t>
            </w:r>
          </w:p>
        </w:tc>
      </w:tr>
      <w:tr w14:paraId="3F2D9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64A522FB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C3BC3A2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  <w:p w14:paraId="33FD56ED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或委托人</w:t>
            </w:r>
          </w:p>
        </w:tc>
        <w:tc>
          <w:tcPr>
            <w:tcW w:w="1555" w:type="dxa"/>
            <w:vAlign w:val="center"/>
          </w:tcPr>
          <w:p w14:paraId="31084700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C443167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</w:t>
            </w:r>
          </w:p>
        </w:tc>
        <w:tc>
          <w:tcPr>
            <w:tcW w:w="1989" w:type="dxa"/>
            <w:vAlign w:val="center"/>
          </w:tcPr>
          <w:p w14:paraId="348718A6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4592439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10CD3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2DDD8284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1F167B6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开户名</w:t>
            </w:r>
          </w:p>
        </w:tc>
        <w:tc>
          <w:tcPr>
            <w:tcW w:w="5103" w:type="dxa"/>
            <w:gridSpan w:val="3"/>
            <w:vAlign w:val="center"/>
          </w:tcPr>
          <w:p w14:paraId="63937AB5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0E9C00B4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326CE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018A50E7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DBD9F9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纳税人识别号</w:t>
            </w:r>
          </w:p>
        </w:tc>
        <w:tc>
          <w:tcPr>
            <w:tcW w:w="5103" w:type="dxa"/>
            <w:gridSpan w:val="3"/>
            <w:vAlign w:val="center"/>
          </w:tcPr>
          <w:p w14:paraId="1FF026B9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6EB82339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632BA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35213840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918C830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开户银行</w:t>
            </w:r>
          </w:p>
        </w:tc>
        <w:tc>
          <w:tcPr>
            <w:tcW w:w="5103" w:type="dxa"/>
            <w:gridSpan w:val="3"/>
            <w:vAlign w:val="center"/>
          </w:tcPr>
          <w:p w14:paraId="126067E2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4A9F695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29FF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20F34E48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8F304AE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地址</w:t>
            </w:r>
          </w:p>
        </w:tc>
        <w:tc>
          <w:tcPr>
            <w:tcW w:w="5103" w:type="dxa"/>
            <w:gridSpan w:val="3"/>
            <w:vAlign w:val="center"/>
          </w:tcPr>
          <w:p w14:paraId="46889330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27F051AF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48438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17E0DF70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81C7D6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5103" w:type="dxa"/>
            <w:gridSpan w:val="3"/>
            <w:vAlign w:val="center"/>
          </w:tcPr>
          <w:p w14:paraId="6B405412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5F3B5576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3050B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72882BF1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B94FADF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5103" w:type="dxa"/>
            <w:gridSpan w:val="3"/>
            <w:vAlign w:val="center"/>
          </w:tcPr>
          <w:p w14:paraId="476B5F9A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61F0A3A2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325DC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restart"/>
            <w:textDirection w:val="tbRlV"/>
            <w:vAlign w:val="center"/>
          </w:tcPr>
          <w:p w14:paraId="61F9529E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乙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方</w:t>
            </w:r>
          </w:p>
        </w:tc>
        <w:tc>
          <w:tcPr>
            <w:tcW w:w="1701" w:type="dxa"/>
            <w:vAlign w:val="center"/>
          </w:tcPr>
          <w:p w14:paraId="2B84CA03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单位名称</w:t>
            </w:r>
          </w:p>
        </w:tc>
        <w:tc>
          <w:tcPr>
            <w:tcW w:w="5103" w:type="dxa"/>
            <w:gridSpan w:val="3"/>
            <w:vAlign w:val="center"/>
          </w:tcPr>
          <w:p w14:paraId="5ABBDA46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A7A6B7E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（单位盖章）</w:t>
            </w:r>
          </w:p>
        </w:tc>
      </w:tr>
      <w:tr w14:paraId="4582A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5F2E47B4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A696C0A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1555" w:type="dxa"/>
            <w:vAlign w:val="center"/>
          </w:tcPr>
          <w:p w14:paraId="617ECBB9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710B7F1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授权代理人</w:t>
            </w:r>
          </w:p>
        </w:tc>
        <w:tc>
          <w:tcPr>
            <w:tcW w:w="1989" w:type="dxa"/>
            <w:vAlign w:val="center"/>
          </w:tcPr>
          <w:p w14:paraId="2E95DCBD">
            <w:pPr>
              <w:pStyle w:val="5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14:paraId="3AE12083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581D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38BF82FB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D4FD640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合同经办人及</w:t>
            </w:r>
          </w:p>
          <w:p w14:paraId="4B78304C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5103" w:type="dxa"/>
            <w:gridSpan w:val="3"/>
            <w:vAlign w:val="center"/>
          </w:tcPr>
          <w:p w14:paraId="3518DD6B">
            <w:pPr>
              <w:pStyle w:val="5"/>
              <w:ind w:firstLine="1680" w:firstLineChars="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合同经办人：</w:t>
            </w:r>
          </w:p>
        </w:tc>
        <w:tc>
          <w:tcPr>
            <w:tcW w:w="1701" w:type="dxa"/>
            <w:vMerge w:val="continue"/>
            <w:vAlign w:val="center"/>
          </w:tcPr>
          <w:p w14:paraId="5086F8B4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597E3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0AC12B0E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2EBC9C16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vAlign w:val="center"/>
          </w:tcPr>
          <w:p w14:paraId="6E44F725">
            <w:pPr>
              <w:pStyle w:val="5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手机：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>座机：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 w14:paraId="4DF2134E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07917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094C7FB4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33685CFD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3"/>
            <w:vAlign w:val="center"/>
          </w:tcPr>
          <w:p w14:paraId="6C65C893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邮箱：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 w14:paraId="61B2D4A0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4E75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71024D34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C974035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开户名</w:t>
            </w:r>
          </w:p>
        </w:tc>
        <w:tc>
          <w:tcPr>
            <w:tcW w:w="5103" w:type="dxa"/>
            <w:gridSpan w:val="3"/>
            <w:vAlign w:val="center"/>
          </w:tcPr>
          <w:p w14:paraId="3AE4B066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701" w:type="dxa"/>
            <w:vMerge w:val="continue"/>
            <w:vAlign w:val="center"/>
          </w:tcPr>
          <w:p w14:paraId="0F697359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7C42C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103135CF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4B911D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纳税人识别号</w:t>
            </w:r>
          </w:p>
        </w:tc>
        <w:tc>
          <w:tcPr>
            <w:tcW w:w="5103" w:type="dxa"/>
            <w:gridSpan w:val="3"/>
            <w:vAlign w:val="center"/>
          </w:tcPr>
          <w:p w14:paraId="77C6D00D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50A8AA80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66A58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7E9CE763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37FA3CF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开户银行</w:t>
            </w:r>
          </w:p>
        </w:tc>
        <w:tc>
          <w:tcPr>
            <w:tcW w:w="5103" w:type="dxa"/>
            <w:gridSpan w:val="3"/>
            <w:vAlign w:val="center"/>
          </w:tcPr>
          <w:p w14:paraId="26C69019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2F3E2C37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3EF1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17F7AD82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180158C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地址</w:t>
            </w:r>
          </w:p>
        </w:tc>
        <w:tc>
          <w:tcPr>
            <w:tcW w:w="5103" w:type="dxa"/>
            <w:gridSpan w:val="3"/>
            <w:vAlign w:val="center"/>
          </w:tcPr>
          <w:p w14:paraId="6DA872FA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006D9EEE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1C46D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5E7BE535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0E0D908"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5103" w:type="dxa"/>
            <w:gridSpan w:val="3"/>
            <w:vAlign w:val="center"/>
          </w:tcPr>
          <w:p w14:paraId="7D9F2BAF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61CBCD3C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  <w:tr w14:paraId="69FDF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567" w:type="dxa"/>
            <w:vMerge w:val="continue"/>
            <w:vAlign w:val="center"/>
          </w:tcPr>
          <w:p w14:paraId="6E37F58D"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6AB99E4">
            <w:pPr>
              <w:pStyle w:val="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5103" w:type="dxa"/>
            <w:gridSpan w:val="3"/>
            <w:vAlign w:val="center"/>
          </w:tcPr>
          <w:p w14:paraId="29E11850">
            <w:pPr>
              <w:pStyle w:val="5"/>
              <w:jc w:val="center"/>
              <w:rPr>
                <w:rFonts w:hint="default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33C518C">
            <w:pPr>
              <w:pStyle w:val="5"/>
              <w:jc w:val="center"/>
              <w:rPr>
                <w:sz w:val="24"/>
                <w:szCs w:val="24"/>
              </w:rPr>
            </w:pPr>
          </w:p>
        </w:tc>
      </w:tr>
    </w:tbl>
    <w:p w14:paraId="76D5714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938E1"/>
    <w:rsid w:val="3D89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空白"/>
    <w:basedOn w:val="1"/>
    <w:next w:val="1"/>
    <w:qFormat/>
    <w:uiPriority w:val="0"/>
    <w:pPr>
      <w:spacing w:line="240" w:lineRule="auto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2026-02-26T03:30:00Z</dcterms:created>
  <dc:creator>张锦吉</dc:creator>
  <cp:lastModifiedBy>张锦吉</cp:lastModifiedBy>
  <dcterms:modified xsi:type="dcterms:W3CDTF">2026-02-26T03:31:12Z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8C72049883374075BA661E98985DDB9B_11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